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left="93"/>
        <w:jc w:val="left"/>
        <w:rPr>
          <w:rFonts w:eastAsia="SimHei"/>
          <w:kern w:val="0"/>
          <w:sz w:val="32"/>
          <w:szCs w:val="32"/>
        </w:rPr>
      </w:pPr>
      <w:r>
        <w:rPr>
          <w:rFonts w:hint="eastAsia" w:ascii="SimHei" w:eastAsia="SimHei"/>
          <w:kern w:val="0"/>
          <w:sz w:val="32"/>
          <w:szCs w:val="32"/>
        </w:rPr>
        <w:t>附件</w:t>
      </w:r>
      <w:r>
        <w:rPr>
          <w:rFonts w:eastAsia="SimHei"/>
          <w:kern w:val="0"/>
          <w:sz w:val="32"/>
          <w:szCs w:val="32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KaiTi_GB2312" w:eastAsia="KaiTi_GB2312"/>
          <w:kern w:val="0"/>
          <w:sz w:val="32"/>
          <w:szCs w:val="32"/>
        </w:rPr>
      </w:pPr>
      <w:r>
        <w:rPr>
          <w:rFonts w:ascii="方正小标宋_GBK" w:hAnsi="方正小标宋_GBK"/>
          <w:kern w:val="0"/>
          <w:sz w:val="36"/>
          <w:szCs w:val="36"/>
        </w:rPr>
        <w:t>专项资金绩效目标申报表</w:t>
      </w:r>
      <w:r>
        <w:rPr>
          <w:rFonts w:eastAsia="方正小标宋_GBK"/>
          <w:kern w:val="0"/>
          <w:sz w:val="36"/>
          <w:szCs w:val="36"/>
        </w:rPr>
        <w:br w:type="textWrapping"/>
      </w:r>
      <w:r>
        <w:rPr>
          <w:rFonts w:hint="eastAsia" w:ascii="KaiTi_GB2312" w:eastAsia="KaiTi_GB2312"/>
          <w:kern w:val="0"/>
          <w:sz w:val="32"/>
          <w:szCs w:val="32"/>
        </w:rPr>
        <w:t>（</w:t>
      </w:r>
      <w:r>
        <w:rPr>
          <w:rFonts w:hint="eastAsia" w:eastAsia="KaiTi_GB2312"/>
          <w:kern w:val="0"/>
          <w:sz w:val="32"/>
          <w:szCs w:val="32"/>
        </w:rPr>
        <w:t>201</w:t>
      </w:r>
      <w:r>
        <w:rPr>
          <w:rFonts w:hint="eastAsia" w:eastAsia="KaiTi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KaiTi_GB2312" w:eastAsia="KaiTi_GB2312"/>
          <w:kern w:val="0"/>
          <w:sz w:val="32"/>
          <w:szCs w:val="32"/>
        </w:rPr>
        <w:t>年度）</w:t>
      </w:r>
      <w:bookmarkStart w:id="0" w:name="_GoBack"/>
      <w:bookmarkEnd w:id="0"/>
    </w:p>
    <w:p>
      <w:pPr>
        <w:spacing w:line="500" w:lineRule="exact"/>
        <w:rPr>
          <w:rFonts w:hint="eastAsia" w:ascii="FangSong_GB2312" w:eastAsia="FangSong_GB2312"/>
          <w:kern w:val="0"/>
          <w:szCs w:val="21"/>
        </w:rPr>
      </w:pPr>
      <w:r>
        <w:rPr>
          <w:rFonts w:hint="eastAsia" w:ascii="SimHei" w:eastAsia="SimHei"/>
          <w:kern w:val="0"/>
          <w:szCs w:val="21"/>
        </w:rPr>
        <w:t>填报单位（盖章）：常德市灯饰管理处</w:t>
      </w:r>
    </w:p>
    <w:tbl>
      <w:tblPr>
        <w:tblStyle w:val="3"/>
        <w:tblW w:w="10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2"/>
        <w:gridCol w:w="2293"/>
        <w:gridCol w:w="421"/>
        <w:gridCol w:w="2205"/>
        <w:gridCol w:w="759"/>
        <w:gridCol w:w="580"/>
        <w:gridCol w:w="2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专项名称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路灯维护费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专项属性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延续专项√     新增专项□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部门名称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市灯饰管理处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资金总额（万元）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SimSun" w:cs="FangSong_GB2312"/>
                <w:kern w:val="0"/>
                <w:szCs w:val="21"/>
                <w:lang w:eastAsia="zh-CN"/>
              </w:rPr>
            </w:pP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部门相应职能职责概述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FangSong_GB2312" w:hAnsi="FangSong_GB2312" w:eastAsia="FangSong_GB2312" w:cs="FangSong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Cs w:val="21"/>
                <w:shd w:val="clear" w:color="auto" w:fill="FFFFFF"/>
              </w:rPr>
              <w:t>负责全市路灯及公共景点亮化设施的维护和管理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依据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市财政局关于批复2015年市直部门预算的通知 常财办发【201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】5号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0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专项实施进度计划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专项实施内容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计划开始时间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计划完成时间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315" w:hanging="315" w:hangingChars="150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18"/>
                <w:szCs w:val="18"/>
              </w:rPr>
              <w:t>1、</w:t>
            </w:r>
            <w:r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eastAsia="zh-CN"/>
              </w:rPr>
              <w:t>东常白鹤山入城口道路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.1.1 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18"/>
                <w:szCs w:val="18"/>
              </w:rPr>
              <w:t>2、</w:t>
            </w:r>
            <w:r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eastAsia="zh-CN"/>
              </w:rPr>
              <w:t>洞庭大道东延线二期工</w:t>
            </w:r>
            <w:r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eastAsia="zh-CN"/>
              </w:rPr>
              <w:t>程一标段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.1.1 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FangSong_GB2312" w:hAnsi="FangSong_GB2312" w:eastAsia="SimSun" w:cs="FangSong_GB2312"/>
                <w:kern w:val="0"/>
                <w:sz w:val="18"/>
                <w:szCs w:val="18"/>
                <w:lang w:val="en-US" w:eastAsia="zh-CN"/>
              </w:rPr>
              <w:t>3、常德大道至二广高速芦荻山互通联接线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.1.1 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.12.31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专项长期绩效目标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保证全市路灯亮化率在99%以上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专项年度绩效目标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规范我市照明设施维护管理，及时修复被损坏的设施，保证我市江北城区的路灯设施的正常使用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专项年度绩效指标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一级指标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二级指标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指标内容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指标值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产出指标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数量指标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0000盏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质量指标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确保路灯亮化设施“亮灯率”。设施“完好率”达到上级机关下达的标准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99%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时效指标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201</w:t>
            </w:r>
            <w:r>
              <w:rPr>
                <w:rFonts w:hint="eastAsia" w:ascii="FangSong_GB2312" w:hAnsi="FangSong_GB2312" w:eastAsia="SimSun" w:cs="FangSong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年12月完成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成本指标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效益指标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经济效益指标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社会效益指标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提升常德城市亮化品味、增强服务功能、改善人居环境以推动城市扩容提质和民主升温为己任，履行道路路灯与景点亮化建设维护的职责，实现公共服务承诺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98%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生态效益指标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可持续影响指标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成立了专门的管理体制，配备了维修人员，使亮灯率长期保证在99%以上　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99%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让市民满意，让领导满意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99%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保障措施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    为保证整个城市路灯的亮化，专门成立了设施科和监控中心，配专人专车晚上进行路灯巡查，及时发现问题，监控中心设有路灯110热线，保证24小时畅通；为了保证工作质量，单位还制定了绩效考核管理实施办法，成立了东、西、北三个维护所，各负其责，明确划分区域，责任明确，分工细致，有效地保证了工作质量；路灯设施被盗、被损，接警后30分钟内赶到现场设防处理，路灯亮化设施的一般故障在24小时内处理完毕；因电路故障在48小时内处理完毕，保证我市江北城区的路灯设施的正常使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财政部门审核意见</w:t>
            </w:r>
          </w:p>
        </w:tc>
        <w:tc>
          <w:tcPr>
            <w:tcW w:w="8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ind w:right="210"/>
              <w:jc w:val="right"/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</w:tbl>
    <w:p>
      <w:pPr>
        <w:widowControl/>
        <w:jc w:val="left"/>
        <w:rPr>
          <w:rFonts w:hint="eastAsia" w:ascii="SimSun" w:hAnsi="SimSun"/>
          <w:kern w:val="0"/>
          <w:szCs w:val="21"/>
        </w:rPr>
      </w:pPr>
      <w:r>
        <w:rPr>
          <w:rFonts w:hint="eastAsia" w:ascii="SimSun" w:hAnsi="SimSun"/>
          <w:kern w:val="0"/>
          <w:szCs w:val="21"/>
        </w:rPr>
        <w:t>填报人：</w:t>
      </w:r>
      <w:r>
        <w:rPr>
          <w:rFonts w:hint="eastAsia" w:ascii="FangSong_GB2312" w:eastAsia="FangSong_GB2312"/>
          <w:kern w:val="0"/>
          <w:szCs w:val="21"/>
        </w:rPr>
        <w:t>钟键</w:t>
      </w:r>
      <w:r>
        <w:rPr>
          <w:kern w:val="0"/>
          <w:szCs w:val="21"/>
        </w:rPr>
        <w:tab/>
      </w:r>
      <w:r>
        <w:rPr>
          <w:rFonts w:hint="eastAsia" w:ascii="SimSun" w:hAnsi="SimSun"/>
          <w:kern w:val="0"/>
          <w:szCs w:val="21"/>
        </w:rPr>
        <w:t>联系电话：</w:t>
      </w:r>
      <w:r>
        <w:rPr>
          <w:rFonts w:hint="eastAsia" w:ascii="FangSong_GB2312" w:eastAsia="FangSong_GB2312"/>
          <w:kern w:val="0"/>
          <w:szCs w:val="21"/>
        </w:rPr>
        <w:t>13875036272</w:t>
      </w:r>
      <w:r>
        <w:rPr>
          <w:kern w:val="0"/>
          <w:szCs w:val="21"/>
        </w:rPr>
        <w:tab/>
      </w:r>
      <w:r>
        <w:rPr>
          <w:rFonts w:hint="eastAsia" w:ascii="SimSun" w:hAnsi="SimSun"/>
          <w:kern w:val="0"/>
          <w:szCs w:val="21"/>
        </w:rPr>
        <w:t>填报日期：</w:t>
      </w:r>
      <w:r>
        <w:rPr>
          <w:rFonts w:hint="eastAsia" w:ascii="FangSong_GB2312" w:eastAsia="FangSong_GB2312"/>
          <w:kern w:val="0"/>
          <w:szCs w:val="21"/>
        </w:rPr>
        <w:t>201</w:t>
      </w:r>
      <w:r>
        <w:rPr>
          <w:rFonts w:hint="eastAsia" w:ascii="FangSong_GB2312" w:eastAsia="SimSun"/>
          <w:kern w:val="0"/>
          <w:szCs w:val="21"/>
          <w:lang w:val="en-US" w:eastAsia="zh-CN"/>
        </w:rPr>
        <w:t>7</w:t>
      </w:r>
      <w:r>
        <w:rPr>
          <w:rFonts w:hint="eastAsia" w:ascii="FangSong_GB2312" w:eastAsia="FangSong_GB2312"/>
          <w:kern w:val="0"/>
          <w:szCs w:val="21"/>
        </w:rPr>
        <w:t>年</w:t>
      </w:r>
      <w:r>
        <w:rPr>
          <w:rFonts w:hint="eastAsia" w:ascii="FangSong_GB2312" w:eastAsia="SimSun"/>
          <w:kern w:val="0"/>
          <w:szCs w:val="21"/>
          <w:lang w:val="en-US" w:eastAsia="zh-CN"/>
        </w:rPr>
        <w:t>4</w:t>
      </w:r>
      <w:r>
        <w:rPr>
          <w:rFonts w:hint="eastAsia" w:ascii="FangSong_GB2312" w:eastAsia="FangSong_GB2312"/>
          <w:kern w:val="0"/>
          <w:szCs w:val="21"/>
        </w:rPr>
        <w:t>月17日</w:t>
      </w:r>
    </w:p>
    <w:p>
      <w:pPr>
        <w:widowControl/>
        <w:jc w:val="left"/>
        <w:rPr>
          <w:rFonts w:hint="eastAsia" w:ascii="SimSun" w:hAnsi="SimSun"/>
          <w:kern w:val="0"/>
          <w:szCs w:val="21"/>
        </w:rPr>
      </w:pPr>
      <w:r>
        <w:rPr>
          <w:rFonts w:hint="eastAsia" w:ascii="SimSun" w:hAnsi="SimSun"/>
          <w:kern w:val="0"/>
          <w:szCs w:val="21"/>
        </w:rPr>
        <w:t xml:space="preserve"> </w:t>
      </w:r>
    </w:p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iTi_GB2312">
    <w:altName w:val="SimSu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24E3"/>
    <w:rsid w:val="0AB824E3"/>
    <w:rsid w:val="131A3074"/>
    <w:rsid w:val="66DF2E42"/>
    <w:rsid w:val="6C8D7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2017-04-17T02:56:00Z</dcterms:created>
  <dc:creator>Administrator</dc:creator>
  <cp:lastModifiedBy>Administrator</cp:lastModifiedBy>
  <dcterms:modified xsi:type="dcterms:W3CDTF">2017-04-24T03:46:48Z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