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19"/>
          <w:tab w:val="center" w:pos="4217"/>
        </w:tabs>
        <w:rPr>
          <w:rFonts w:hint="eastAsia" w:ascii="黑体" w:eastAsia="黑体"/>
        </w:rPr>
      </w:pPr>
      <w:r>
        <w:rPr>
          <w:rFonts w:hint="eastAsia" w:ascii="黑体" w:eastAsia="黑体"/>
        </w:rPr>
        <w:t>附件2</w:t>
      </w:r>
    </w:p>
    <w:p>
      <w:pPr>
        <w:tabs>
          <w:tab w:val="left" w:pos="2019"/>
          <w:tab w:val="center" w:pos="4217"/>
        </w:tabs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常德市</w:t>
      </w:r>
      <w:r>
        <w:rPr>
          <w:rFonts w:hint="eastAsia" w:ascii="方正小标宋简体" w:eastAsia="方正小标宋简体"/>
          <w:bCs/>
          <w:sz w:val="44"/>
          <w:szCs w:val="44"/>
        </w:rPr>
        <w:t>园林式小区评价表</w:t>
      </w:r>
    </w:p>
    <w:tbl>
      <w:tblPr>
        <w:tblStyle w:val="2"/>
        <w:tblW w:w="93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6637"/>
        <w:gridCol w:w="518"/>
        <w:gridCol w:w="518"/>
        <w:gridCol w:w="518"/>
        <w:gridCol w:w="5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评选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项目</w:t>
            </w:r>
          </w:p>
        </w:tc>
        <w:tc>
          <w:tcPr>
            <w:tcW w:w="66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评 选 内 容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应得分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扣减分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实得分</w:t>
            </w:r>
          </w:p>
        </w:tc>
        <w:tc>
          <w:tcPr>
            <w:tcW w:w="5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6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绿化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指标</w:t>
            </w:r>
          </w:p>
        </w:tc>
        <w:tc>
          <w:tcPr>
            <w:tcW w:w="66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8"/>
                <w:sz w:val="21"/>
                <w:szCs w:val="21"/>
              </w:rPr>
            </w:pPr>
            <w:r>
              <w:rPr>
                <w:rFonts w:ascii="宋体" w:hAnsi="宋体" w:eastAsia="宋体"/>
                <w:spacing w:val="-8"/>
                <w:sz w:val="21"/>
                <w:szCs w:val="21"/>
              </w:rPr>
              <w:t>1.新建居住小区绿地占居住小区总用地比率不低于35%，绿化覆盖率不低于40%。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2.改建居住小区的绿地占居住小区总用地比率不低于30%，绿化覆盖率不低于35%。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3.人均公共绿地不低于1.0㎡/人。</w:t>
            </w:r>
          </w:p>
        </w:tc>
        <w:tc>
          <w:tcPr>
            <w:tcW w:w="5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6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规划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设计</w:t>
            </w:r>
          </w:p>
        </w:tc>
        <w:tc>
          <w:tcPr>
            <w:tcW w:w="66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1.符合相关政策规范，绿地整体规划布局合理，结合环境特点及用地的具体条件，采用集中与分散相结合，点、线、面相结合的方式。（4分）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2.以植物造景为主，符合安全、生态、游憩和景观等功能要求；乔、灌、草搭配合理，植物群落结构多样，季相变化丰富。优先使用乡土植物，原有植物、植被得到有效保护。（4分）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3.园林建筑小品及设施设置合理，与整体环境协调。（2分）</w:t>
            </w:r>
          </w:p>
        </w:tc>
        <w:tc>
          <w:tcPr>
            <w:tcW w:w="5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10分</w:t>
            </w:r>
          </w:p>
        </w:tc>
        <w:tc>
          <w:tcPr>
            <w:tcW w:w="5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67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植物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景观</w:t>
            </w:r>
          </w:p>
        </w:tc>
        <w:tc>
          <w:tcPr>
            <w:tcW w:w="66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1.绿化面积≤5000㎡，植物品种不少于50种，绿化面积＞5000㎡，植物品种不少于60种；乡土木本植物占85%以上。（10分）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2.慢长树所占比例一般不少于树木总量的40％，常绿乔木与落叶乔木比例在1:2-1:3之间（10分）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3.绿化覆盖面积中乔、灌木的比例不低于70%。（5分）</w:t>
            </w:r>
          </w:p>
          <w:p>
            <w:pPr>
              <w:spacing w:line="360" w:lineRule="exact"/>
              <w:rPr>
                <w:rFonts w:ascii="宋体" w:hAnsi="宋体" w:eastAsia="宋体"/>
                <w:spacing w:val="-8"/>
                <w:sz w:val="21"/>
                <w:szCs w:val="21"/>
              </w:rPr>
            </w:pPr>
            <w:r>
              <w:rPr>
                <w:rFonts w:ascii="宋体" w:hAnsi="宋体" w:eastAsia="宋体"/>
                <w:spacing w:val="-8"/>
                <w:sz w:val="21"/>
                <w:szCs w:val="21"/>
              </w:rPr>
              <w:t>4.墙体、屋面、阳台、围栏、棚架、路灯及电线柱杆种植绿色攀援植物。（5分）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30分</w:t>
            </w:r>
          </w:p>
        </w:tc>
        <w:tc>
          <w:tcPr>
            <w:tcW w:w="5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5.竣工时，胸径大于15厘米的速生树种乔木数量和胸径大于12厘米的慢生树种乔木数量在乔木总数中所占比例不得大于10%。</w:t>
            </w:r>
          </w:p>
        </w:tc>
        <w:tc>
          <w:tcPr>
            <w:tcW w:w="5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7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宅旁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绿化</w:t>
            </w:r>
          </w:p>
        </w:tc>
        <w:tc>
          <w:tcPr>
            <w:tcW w:w="6637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突出通达性、观赏性、实用性；大乔木与有窗建筑应保持合适的距离，一般控制：东面≥5m、南面≥8m、西面≥4m、北面≥5m。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5分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6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公共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绿地</w:t>
            </w:r>
          </w:p>
        </w:tc>
        <w:tc>
          <w:tcPr>
            <w:tcW w:w="6637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1.设置相应的中心绿地、块状、带状绿地，并利用植物围合空间，有一边与道路相邻；其中块状、带状绿地还应满足宽度不小于8米，面积不少于400平方米的要求。（5分）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2.设置健身、休息、游戏场所及必要的座椅、凉亭等设施，满足居民户外活动的需要。（5分）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10分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6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道路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绿化</w:t>
            </w:r>
          </w:p>
        </w:tc>
        <w:tc>
          <w:tcPr>
            <w:tcW w:w="6637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行道树以种植冠大荫浓乔木为主，形成林荫道。（3分）</w:t>
            </w:r>
          </w:p>
          <w:p>
            <w:pPr>
              <w:spacing w:line="360" w:lineRule="exact"/>
              <w:rPr>
                <w:rFonts w:ascii="宋体" w:hAnsi="宋体" w:eastAsia="宋体"/>
                <w:spacing w:val="-4"/>
                <w:sz w:val="21"/>
                <w:szCs w:val="21"/>
              </w:rPr>
            </w:pPr>
            <w:r>
              <w:rPr>
                <w:rFonts w:ascii="宋体" w:hAnsi="宋体" w:eastAsia="宋体"/>
                <w:spacing w:val="-4"/>
                <w:sz w:val="21"/>
                <w:szCs w:val="21"/>
              </w:rPr>
              <w:t>1.宽度大于1.5m（含1.5m）的绿带应乔木、灌木和地被植物相结合。（4分）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2.路侧绿带形成多层次的植物景观。（3分）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10分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7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广场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和停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车场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绿化</w:t>
            </w:r>
          </w:p>
        </w:tc>
        <w:tc>
          <w:tcPr>
            <w:tcW w:w="6637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4"/>
                <w:sz w:val="21"/>
                <w:szCs w:val="21"/>
              </w:rPr>
            </w:pPr>
            <w:r>
              <w:rPr>
                <w:rFonts w:ascii="宋体" w:hAnsi="宋体" w:eastAsia="宋体"/>
                <w:spacing w:val="-4"/>
                <w:sz w:val="21"/>
                <w:szCs w:val="21"/>
              </w:rPr>
              <w:t>1.以种植中等偏大规格落叶乔木为主，并适当配置常绿乔木，设置休闲座椅；绿化覆盖率达70%以上；广场边界利用乔木、灌木组群，与周边隔离。（3分）</w:t>
            </w:r>
          </w:p>
          <w:p>
            <w:pPr>
              <w:spacing w:line="360" w:lineRule="exact"/>
              <w:rPr>
                <w:rFonts w:ascii="宋体" w:hAnsi="宋体" w:eastAsia="宋体"/>
                <w:spacing w:val="-4"/>
                <w:sz w:val="21"/>
                <w:szCs w:val="21"/>
              </w:rPr>
            </w:pPr>
            <w:r>
              <w:rPr>
                <w:rFonts w:ascii="宋体" w:hAnsi="宋体" w:eastAsia="宋体"/>
                <w:spacing w:val="-4"/>
                <w:sz w:val="21"/>
                <w:szCs w:val="21"/>
              </w:rPr>
              <w:t>2.停车场周边或场内种植的乔木具有庇荫、隔离和防护功能。①乔木分枝点高度满足：大、中型汽车停车场＞4m，小型汽车停车场＞2.5m，自行车停车场＞2.2m。②选择常绿枝叶茂密、耐修剪的灌木进行隔离防护。（2分）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5分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6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园林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小品及设施</w:t>
            </w:r>
          </w:p>
        </w:tc>
        <w:tc>
          <w:tcPr>
            <w:tcW w:w="6637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1.沿街围墙采用通透式设计，种植绿色攀援植物；（2分）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2.假山、置石、雕塑小品少而精，垃圾站、变电站等设施用灌木、乔木或藤本植物遮挡美化；与环境协调。（2分）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3.采用节能灯具照明；采用节水型灌溉并实施雨水收集技术；（1分）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5分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铺装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和树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池</w:t>
            </w:r>
          </w:p>
        </w:tc>
        <w:tc>
          <w:tcPr>
            <w:tcW w:w="6637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1.利用透水材料和透水结构铺装面积超过铺装总面积的50%。（4分）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2.路面平整、牢固；伸缩缝及排水处理功能正常。（2分）</w:t>
            </w:r>
          </w:p>
          <w:p>
            <w:pPr>
              <w:spacing w:line="36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ascii="宋体" w:hAnsi="宋体" w:eastAsia="宋体"/>
                <w:spacing w:val="-10"/>
                <w:sz w:val="21"/>
                <w:szCs w:val="21"/>
              </w:rPr>
              <w:t>3.树池宽度大于1.5ｍ，采用环保透气材料制造的树篦子或地被植物覆盖。（4分）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10分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水景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景观</w:t>
            </w:r>
          </w:p>
        </w:tc>
        <w:tc>
          <w:tcPr>
            <w:tcW w:w="6637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1.未采用大瀑布、大喷泉、大叠水；喷泉未使用再生水；水景采用循环、净化等措施，水质洁净。（2分）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2.沿水驳岸（池岸）种植湿生、水生植物，满足安全性、亲水性要求；驳岸自然化率达80%以上。（3分）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5分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7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综合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管理</w:t>
            </w:r>
          </w:p>
        </w:tc>
        <w:tc>
          <w:tcPr>
            <w:tcW w:w="6637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1.日常管理养护到位：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sz w:val="21"/>
                <w:szCs w:val="21"/>
              </w:rPr>
              <w:instrText xml:space="preserve"> = 1 \* GB3 \* MERGEFORMAT </w:instrText>
            </w:r>
            <w:r>
              <w:rPr>
                <w:rFonts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ascii="宋体" w:hAnsi="宋体" w:eastAsia="宋体"/>
                <w:sz w:val="21"/>
                <w:szCs w:val="21"/>
              </w:rPr>
              <w:t>①</w:t>
            </w:r>
            <w:r>
              <w:rPr>
                <w:rFonts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ascii="宋体" w:hAnsi="宋体" w:eastAsia="宋体"/>
                <w:sz w:val="21"/>
                <w:szCs w:val="21"/>
              </w:rPr>
              <w:t>树木成活率达98%以上，生长健壮、修剪及时、没有病虫害；（5分）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sz w:val="21"/>
                <w:szCs w:val="21"/>
              </w:rPr>
              <w:instrText xml:space="preserve"> = 2 \* GB3 \* MERGEFORMAT </w:instrText>
            </w:r>
            <w:r>
              <w:rPr>
                <w:rFonts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ascii="宋体" w:hAnsi="宋体" w:eastAsia="宋体"/>
                <w:sz w:val="21"/>
                <w:szCs w:val="21"/>
              </w:rPr>
              <w:t>②</w:t>
            </w:r>
            <w:r>
              <w:rPr>
                <w:rFonts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ascii="宋体" w:hAnsi="宋体" w:eastAsia="宋体"/>
                <w:sz w:val="21"/>
                <w:szCs w:val="21"/>
              </w:rPr>
              <w:t>建（构)筑物及相关配套设施整洁完好；（3分）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sz w:val="21"/>
                <w:szCs w:val="21"/>
              </w:rPr>
              <w:instrText xml:space="preserve"> = 3 \* GB3 \* MERGEFORMAT </w:instrText>
            </w:r>
            <w:r>
              <w:rPr>
                <w:rFonts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ascii="宋体" w:hAnsi="宋体" w:eastAsia="宋体"/>
                <w:sz w:val="21"/>
                <w:szCs w:val="21"/>
              </w:rPr>
              <w:t>③</w:t>
            </w:r>
            <w:r>
              <w:rPr>
                <w:rFonts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ascii="宋体" w:hAnsi="宋体" w:eastAsia="宋体"/>
                <w:sz w:val="21"/>
                <w:szCs w:val="21"/>
              </w:rPr>
              <w:t>卫生保洁良好，车辆停放有序。（2分）</w:t>
            </w:r>
          </w:p>
        </w:tc>
        <w:tc>
          <w:tcPr>
            <w:tcW w:w="5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10分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37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2.绿化管理规范，无侵占、破坏园林绿化情况；绿化调整、大树移栽与砍伐（2株以上）经园林绿化主管部门同意。</w:t>
            </w:r>
          </w:p>
        </w:tc>
        <w:tc>
          <w:tcPr>
            <w:tcW w:w="5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*</w:t>
            </w:r>
          </w:p>
        </w:tc>
      </w:tr>
    </w:tbl>
    <w:p>
      <w:pPr>
        <w:spacing w:line="360" w:lineRule="exact"/>
        <w:ind w:left="-85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大树指胸径20厘米以上的落叶乔木和胸径15厘米以上的常绿乔木。</w:t>
      </w:r>
    </w:p>
    <w:p>
      <w:r>
        <w:rPr>
          <w:rFonts w:ascii="宋体" w:hAnsi="宋体" w:eastAsia="宋体"/>
          <w:sz w:val="21"/>
          <w:szCs w:val="21"/>
        </w:rPr>
        <w:t>“备注”标“*”的，为考评否决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TgyMjE0YWIzZTg5ODY2NDI0OWUxMWExOTM1ZGYifQ=="/>
  </w:docVars>
  <w:rsids>
    <w:rsidRoot w:val="592A5E05"/>
    <w:rsid w:val="592A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2023-09-05T01:41:00Z</dcterms:created>
  <dc:creator>Candy张臻涵</dc:creator>
  <cp:lastModifiedBy>Candy张臻涵</cp:lastModifiedBy>
  <dcterms:modified xsi:type="dcterms:W3CDTF">2023-09-05T01:41:57Z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3E4EF3A662174FBAA019609E5C9DD768_11</vt:lpwstr>
  </property>
</Properties>
</file>