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left="93"/>
        <w:jc w:val="left"/>
        <w:rPr>
          <w:rFonts w:eastAsia="黑体"/>
          <w:kern w:val="0"/>
          <w:sz w:val="32"/>
          <w:szCs w:val="32"/>
        </w:rPr>
      </w:pPr>
      <w:r>
        <w:rPr>
          <w:rFonts w:hint="eastAsia" w:ascii="黑体" w:eastAsia="黑体"/>
          <w:kern w:val="0"/>
          <w:sz w:val="32"/>
          <w:szCs w:val="32"/>
        </w:rPr>
        <w:t>附件</w:t>
      </w:r>
      <w:r>
        <w:rPr>
          <w:rFonts w:eastAsia="黑体"/>
          <w:kern w:val="0"/>
          <w:sz w:val="32"/>
          <w:szCs w:val="32"/>
        </w:rPr>
        <w:t>2-1</w:t>
      </w:r>
    </w:p>
    <w:p>
      <w:pPr>
        <w:spacing w:line="460" w:lineRule="exact"/>
        <w:jc w:val="center"/>
        <w:rPr>
          <w:rFonts w:ascii="楷体_GB2312" w:eastAsia="楷体_GB2312"/>
          <w:kern w:val="0"/>
          <w:sz w:val="32"/>
          <w:szCs w:val="32"/>
        </w:rPr>
      </w:pPr>
      <w:r>
        <w:rPr>
          <w:rFonts w:ascii="方正小标宋_GBK" w:hAnsi="方正小标宋_GBK"/>
          <w:kern w:val="0"/>
          <w:sz w:val="36"/>
          <w:szCs w:val="36"/>
        </w:rPr>
        <w:t>专项资金绩效目标申报表</w:t>
      </w:r>
      <w:r>
        <w:rPr>
          <w:rFonts w:eastAsia="方正小标宋_GBK"/>
          <w:kern w:val="0"/>
          <w:sz w:val="36"/>
          <w:szCs w:val="36"/>
        </w:rPr>
        <w:br w:type="textWrapping"/>
      </w:r>
      <w:r>
        <w:rPr>
          <w:rFonts w:hint="eastAsia" w:ascii="楷体_GB2312" w:eastAsia="楷体_GB2312"/>
          <w:kern w:val="0"/>
          <w:sz w:val="32"/>
          <w:szCs w:val="32"/>
        </w:rPr>
        <w:t>（</w:t>
      </w:r>
      <w:r>
        <w:rPr>
          <w:rFonts w:hint="eastAsia" w:eastAsia="楷体_GB2312"/>
          <w:kern w:val="0"/>
          <w:sz w:val="32"/>
          <w:szCs w:val="32"/>
        </w:rPr>
        <w:t>2017</w:t>
      </w:r>
      <w:r>
        <w:rPr>
          <w:rFonts w:hint="eastAsia" w:ascii="楷体_GB2312" w:eastAsia="楷体_GB2312"/>
          <w:kern w:val="0"/>
          <w:sz w:val="32"/>
          <w:szCs w:val="32"/>
        </w:rPr>
        <w:t>年度）</w:t>
      </w:r>
    </w:p>
    <w:p>
      <w:pPr>
        <w:spacing w:line="500" w:lineRule="exact"/>
        <w:rPr>
          <w:rFonts w:ascii="仿宋_GB2312" w:eastAsia="仿宋_GB2312"/>
          <w:kern w:val="0"/>
          <w:szCs w:val="21"/>
        </w:rPr>
      </w:pPr>
      <w:r>
        <w:rPr>
          <w:rFonts w:hint="eastAsia" w:ascii="黑体" w:eastAsia="黑体"/>
          <w:kern w:val="0"/>
          <w:szCs w:val="21"/>
        </w:rPr>
        <w:t>填报单位（盖章）：常德市灯饰管理处</w:t>
      </w:r>
    </w:p>
    <w:tbl>
      <w:tblPr>
        <w:tblStyle w:val="5"/>
        <w:tblW w:w="10129" w:type="dxa"/>
        <w:jc w:val="center"/>
        <w:tblInd w:w="0" w:type="dxa"/>
        <w:tblLayout w:type="fixed"/>
        <w:tblCellMar>
          <w:top w:w="0" w:type="dxa"/>
          <w:left w:w="108" w:type="dxa"/>
          <w:bottom w:w="0" w:type="dxa"/>
          <w:right w:w="108" w:type="dxa"/>
        </w:tblCellMar>
      </w:tblPr>
      <w:tblGrid>
        <w:gridCol w:w="710"/>
        <w:gridCol w:w="592"/>
        <w:gridCol w:w="1513"/>
        <w:gridCol w:w="1201"/>
        <w:gridCol w:w="1291"/>
        <w:gridCol w:w="914"/>
        <w:gridCol w:w="1637"/>
        <w:gridCol w:w="284"/>
        <w:gridCol w:w="1987"/>
      </w:tblGrid>
      <w:tr>
        <w:tblPrEx>
          <w:tblLayout w:type="fixed"/>
          <w:tblCellMar>
            <w:top w:w="0" w:type="dxa"/>
            <w:left w:w="108" w:type="dxa"/>
            <w:bottom w:w="0" w:type="dxa"/>
            <w:right w:w="108" w:type="dxa"/>
          </w:tblCellMar>
        </w:tblPrEx>
        <w:trPr>
          <w:trHeight w:val="373"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专项名称</w:t>
            </w:r>
          </w:p>
        </w:tc>
        <w:tc>
          <w:tcPr>
            <w:tcW w:w="2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宋体" w:cs="仿宋_GB2312"/>
                <w:kern w:val="0"/>
                <w:szCs w:val="21"/>
              </w:rPr>
              <w:t>亮化</w:t>
            </w:r>
            <w:r>
              <w:rPr>
                <w:rFonts w:hint="eastAsia" w:ascii="仿宋_GB2312" w:hAnsi="仿宋_GB2312" w:eastAsia="仿宋_GB2312" w:cs="仿宋_GB2312"/>
                <w:kern w:val="0"/>
                <w:szCs w:val="21"/>
              </w:rPr>
              <w:t>维护费</w:t>
            </w:r>
          </w:p>
        </w:tc>
        <w:tc>
          <w:tcPr>
            <w:tcW w:w="22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专项属性</w:t>
            </w:r>
          </w:p>
        </w:tc>
        <w:tc>
          <w:tcPr>
            <w:tcW w:w="390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延续专项√新增专项□</w:t>
            </w:r>
          </w:p>
        </w:tc>
      </w:tr>
      <w:tr>
        <w:tblPrEx>
          <w:tblLayout w:type="fixed"/>
          <w:tblCellMar>
            <w:top w:w="0" w:type="dxa"/>
            <w:left w:w="108" w:type="dxa"/>
            <w:bottom w:w="0" w:type="dxa"/>
            <w:right w:w="108" w:type="dxa"/>
          </w:tblCellMar>
        </w:tblPrEx>
        <w:trPr>
          <w:trHeight w:val="369"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部门名称</w:t>
            </w:r>
          </w:p>
        </w:tc>
        <w:tc>
          <w:tcPr>
            <w:tcW w:w="2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市灯饰管理处</w:t>
            </w:r>
          </w:p>
        </w:tc>
        <w:tc>
          <w:tcPr>
            <w:tcW w:w="22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资金总额（万元）</w:t>
            </w:r>
          </w:p>
        </w:tc>
        <w:tc>
          <w:tcPr>
            <w:tcW w:w="390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宋体" w:cs="仿宋_GB2312"/>
                <w:kern w:val="0"/>
                <w:szCs w:val="21"/>
              </w:rPr>
            </w:pPr>
            <w:r>
              <w:rPr>
                <w:rFonts w:hint="eastAsia" w:ascii="仿宋_GB2312" w:hAnsi="仿宋_GB2312" w:eastAsia="宋体" w:cs="仿宋_GB2312"/>
                <w:kern w:val="0"/>
                <w:szCs w:val="21"/>
              </w:rPr>
              <w:t>893</w:t>
            </w:r>
          </w:p>
        </w:tc>
      </w:tr>
      <w:tr>
        <w:tblPrEx>
          <w:tblLayout w:type="fixed"/>
          <w:tblCellMar>
            <w:top w:w="0" w:type="dxa"/>
            <w:left w:w="108" w:type="dxa"/>
            <w:bottom w:w="0" w:type="dxa"/>
            <w:right w:w="108" w:type="dxa"/>
          </w:tblCellMar>
        </w:tblPrEx>
        <w:trPr>
          <w:trHeight w:val="500"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部门相应职能职责概述</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负责江北城区楼宇亮化到质保期项目的维护和管理及未到质保期亮化项目的日常巡查管理</w:t>
            </w:r>
          </w:p>
        </w:tc>
      </w:tr>
      <w:tr>
        <w:tblPrEx>
          <w:tblLayout w:type="fixed"/>
          <w:tblCellMar>
            <w:top w:w="0" w:type="dxa"/>
            <w:left w:w="108" w:type="dxa"/>
            <w:bottom w:w="0" w:type="dxa"/>
            <w:right w:w="108" w:type="dxa"/>
          </w:tblCellMar>
        </w:tblPrEx>
        <w:trPr>
          <w:trHeight w:val="521"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专项立项</w:t>
            </w:r>
          </w:p>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依据</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市财政局关于批复2015年市直部门预算的通知常财办发【2017】6号</w:t>
            </w:r>
          </w:p>
        </w:tc>
      </w:tr>
      <w:tr>
        <w:tblPrEx>
          <w:tblLayout w:type="fixed"/>
          <w:tblCellMar>
            <w:top w:w="0" w:type="dxa"/>
            <w:left w:w="108" w:type="dxa"/>
            <w:bottom w:w="0" w:type="dxa"/>
            <w:right w:w="108" w:type="dxa"/>
          </w:tblCellMar>
        </w:tblPrEx>
        <w:trPr>
          <w:trHeight w:val="360" w:hRule="atLeast"/>
          <w:jc w:val="center"/>
        </w:trPr>
        <w:tc>
          <w:tcPr>
            <w:tcW w:w="1302" w:type="dxa"/>
            <w:gridSpan w:val="2"/>
            <w:vMerge w:val="restart"/>
            <w:tcBorders>
              <w:top w:val="nil"/>
              <w:left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专项实施进度计划</w:t>
            </w:r>
          </w:p>
        </w:tc>
        <w:tc>
          <w:tcPr>
            <w:tcW w:w="400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专项实施内容</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计划开始时间</w:t>
            </w:r>
          </w:p>
        </w:tc>
        <w:tc>
          <w:tcPr>
            <w:tcW w:w="22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计划完成时间</w:t>
            </w:r>
          </w:p>
        </w:tc>
      </w:tr>
      <w:tr>
        <w:tblPrEx>
          <w:tblLayout w:type="fixed"/>
          <w:tblCellMar>
            <w:top w:w="0" w:type="dxa"/>
            <w:left w:w="108" w:type="dxa"/>
            <w:bottom w:w="0" w:type="dxa"/>
            <w:right w:w="108" w:type="dxa"/>
          </w:tblCellMar>
        </w:tblPrEx>
        <w:trPr>
          <w:trHeight w:val="360" w:hRule="atLeast"/>
          <w:jc w:val="center"/>
        </w:trPr>
        <w:tc>
          <w:tcPr>
            <w:tcW w:w="1302"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00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1、2016年到质保期维护项目614万元</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2017.1.1 </w:t>
            </w:r>
          </w:p>
        </w:tc>
        <w:tc>
          <w:tcPr>
            <w:tcW w:w="22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2017.12.31 </w:t>
            </w:r>
          </w:p>
        </w:tc>
      </w:tr>
      <w:tr>
        <w:tblPrEx>
          <w:tblLayout w:type="fixed"/>
          <w:tblCellMar>
            <w:top w:w="0" w:type="dxa"/>
            <w:left w:w="108" w:type="dxa"/>
            <w:bottom w:w="0" w:type="dxa"/>
            <w:right w:w="108" w:type="dxa"/>
          </w:tblCellMar>
        </w:tblPrEx>
        <w:trPr>
          <w:trHeight w:val="310" w:hRule="atLeast"/>
          <w:jc w:val="center"/>
        </w:trPr>
        <w:tc>
          <w:tcPr>
            <w:tcW w:w="1302"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00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2、2017年到质保期维护项目249万元</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2017.2.1 </w:t>
            </w:r>
          </w:p>
        </w:tc>
        <w:tc>
          <w:tcPr>
            <w:tcW w:w="22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2018.02.01 </w:t>
            </w:r>
          </w:p>
        </w:tc>
      </w:tr>
      <w:tr>
        <w:tblPrEx>
          <w:tblLayout w:type="fixed"/>
          <w:tblCellMar>
            <w:top w:w="0" w:type="dxa"/>
            <w:left w:w="108" w:type="dxa"/>
            <w:bottom w:w="0" w:type="dxa"/>
            <w:right w:w="108" w:type="dxa"/>
          </w:tblCellMar>
        </w:tblPrEx>
        <w:trPr>
          <w:trHeight w:val="290" w:hRule="atLeast"/>
          <w:jc w:val="center"/>
        </w:trPr>
        <w:tc>
          <w:tcPr>
            <w:tcW w:w="1302"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00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3、未到质保期的亮化项目巡查费30万元</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2017.1.1 </w:t>
            </w:r>
          </w:p>
        </w:tc>
        <w:tc>
          <w:tcPr>
            <w:tcW w:w="22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2017.12.31 </w:t>
            </w:r>
          </w:p>
        </w:tc>
      </w:tr>
      <w:tr>
        <w:tblPrEx>
          <w:tblLayout w:type="fixed"/>
          <w:tblCellMar>
            <w:top w:w="0" w:type="dxa"/>
            <w:left w:w="108" w:type="dxa"/>
            <w:bottom w:w="0" w:type="dxa"/>
            <w:right w:w="108" w:type="dxa"/>
          </w:tblCellMar>
        </w:tblPrEx>
        <w:trPr>
          <w:trHeight w:val="392"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专项长期绩效目标</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完善城市功能，改善人居环境，美化和丰富城市夜间生活，提高人民生活水平，为常德市招商引资创造良好的环境。</w:t>
            </w:r>
          </w:p>
        </w:tc>
      </w:tr>
      <w:tr>
        <w:tblPrEx>
          <w:tblLayout w:type="fixed"/>
          <w:tblCellMar>
            <w:top w:w="0" w:type="dxa"/>
            <w:left w:w="108" w:type="dxa"/>
            <w:bottom w:w="0" w:type="dxa"/>
            <w:right w:w="108" w:type="dxa"/>
          </w:tblCellMar>
        </w:tblPrEx>
        <w:trPr>
          <w:trHeight w:val="442"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专项年度绩效目标</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规范我市照明设施维护管理，及时修复被损坏的设施，保证我市江北城区的</w:t>
            </w:r>
            <w:r>
              <w:rPr>
                <w:rFonts w:hint="eastAsia" w:ascii="仿宋_GB2312" w:hAnsi="仿宋_GB2312" w:eastAsia="仿宋_GB2312" w:cs="仿宋_GB2312"/>
                <w:kern w:val="0"/>
                <w:szCs w:val="21"/>
                <w:lang w:eastAsia="zh-CN"/>
              </w:rPr>
              <w:t>亮化</w:t>
            </w:r>
            <w:r>
              <w:rPr>
                <w:rFonts w:hint="eastAsia" w:ascii="仿宋_GB2312" w:hAnsi="仿宋_GB2312" w:eastAsia="仿宋_GB2312" w:cs="仿宋_GB2312"/>
                <w:kern w:val="0"/>
                <w:szCs w:val="21"/>
              </w:rPr>
              <w:t>设施的正常使用，保证江北城区到质保期的亮化项目亮灯率在90%以上，设施完好率、设</w:t>
            </w:r>
            <w:r>
              <w:rPr>
                <w:rFonts w:hint="eastAsia" w:ascii="仿宋_GB2312" w:hAnsi="仿宋_GB2312" w:eastAsia="仿宋_GB2312" w:cs="仿宋_GB2312"/>
                <w:kern w:val="0"/>
                <w:szCs w:val="21"/>
                <w:lang w:eastAsia="zh-CN"/>
              </w:rPr>
              <w:t>施</w:t>
            </w:r>
            <w:r>
              <w:rPr>
                <w:rFonts w:hint="eastAsia" w:ascii="仿宋_GB2312" w:hAnsi="仿宋_GB2312" w:eastAsia="仿宋_GB2312" w:cs="仿宋_GB2312"/>
                <w:kern w:val="0"/>
                <w:szCs w:val="21"/>
              </w:rPr>
              <w:t>清洁率在95%以上。</w:t>
            </w:r>
          </w:p>
        </w:tc>
      </w:tr>
      <w:tr>
        <w:tblPrEx>
          <w:tblLayout w:type="fixed"/>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专项年度绩效指标</w:t>
            </w:r>
          </w:p>
        </w:tc>
        <w:tc>
          <w:tcPr>
            <w:tcW w:w="5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15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指标内容</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指标值</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备注</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产出指标</w:t>
            </w:r>
          </w:p>
        </w:tc>
        <w:tc>
          <w:tcPr>
            <w:tcW w:w="1513" w:type="dxa"/>
            <w:vMerge w:val="restart"/>
            <w:tcBorders>
              <w:top w:val="single" w:color="auto" w:sz="4" w:space="0"/>
              <w:left w:val="nil"/>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数量指标</w:t>
            </w:r>
          </w:p>
        </w:tc>
        <w:tc>
          <w:tcPr>
            <w:tcW w:w="2492" w:type="dxa"/>
            <w:gridSpan w:val="2"/>
            <w:vMerge w:val="restart"/>
            <w:tcBorders>
              <w:top w:val="single" w:color="auto" w:sz="4" w:space="0"/>
              <w:left w:val="nil"/>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亮化数量</w:t>
            </w:r>
          </w:p>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一期项目：64处，193栋建（构）筑物</w:t>
            </w:r>
          </w:p>
        </w:tc>
        <w:tc>
          <w:tcPr>
            <w:tcW w:w="1987"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因楼宇亮化单栋的亮化品种和数量太多，无法进行统计，只能以处和楼栋数量统计。</w:t>
            </w:r>
          </w:p>
        </w:tc>
      </w:tr>
      <w:tr>
        <w:tblPrEx>
          <w:tblLayout w:type="fixed"/>
          <w:tblCellMar>
            <w:top w:w="0" w:type="dxa"/>
            <w:left w:w="108" w:type="dxa"/>
            <w:bottom w:w="0" w:type="dxa"/>
            <w:right w:w="108" w:type="dxa"/>
          </w:tblCellMar>
        </w:tblPrEx>
        <w:trPr>
          <w:trHeight w:val="84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vMerge w:val="continue"/>
            <w:tcBorders>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p>
        </w:tc>
        <w:tc>
          <w:tcPr>
            <w:tcW w:w="2492" w:type="dxa"/>
            <w:gridSpan w:val="2"/>
            <w:vMerge w:val="continue"/>
            <w:tcBorders>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二期项目：55处，115栋建（构）筑物。共计119处，308栋建（构）筑物</w:t>
            </w:r>
          </w:p>
        </w:tc>
        <w:tc>
          <w:tcPr>
            <w:tcW w:w="1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43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质量指标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确保亮化设施“亮灯率”，设施“完好率”</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确保亮化设施“亮灯率”，设施“完好率”达到上级机关下达的标准，亮灯率在90%以上，设施完好率在95%以上。</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国家只要求亮化亮灯率90%以上，实际我们要求亮灯率在95%以上</w:t>
            </w:r>
          </w:p>
        </w:tc>
      </w:tr>
      <w:tr>
        <w:tblPrEx>
          <w:tblLayout w:type="fixed"/>
          <w:tblCellMar>
            <w:top w:w="0" w:type="dxa"/>
            <w:left w:w="108" w:type="dxa"/>
            <w:bottom w:w="0" w:type="dxa"/>
            <w:right w:w="108" w:type="dxa"/>
          </w:tblCellMar>
        </w:tblPrEx>
        <w:trPr>
          <w:trHeight w:val="3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时效指标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bookmarkStart w:id="0" w:name="OLE_LINK1"/>
            <w:r>
              <w:rPr>
                <w:rFonts w:hint="eastAsia" w:ascii="仿宋_GB2312" w:hAnsi="仿宋_GB2312" w:eastAsia="仿宋_GB2312" w:cs="仿宋_GB2312"/>
                <w:kern w:val="0"/>
                <w:szCs w:val="21"/>
              </w:rPr>
              <w:t>2017年全年</w:t>
            </w:r>
            <w:bookmarkEnd w:id="0"/>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2017年全年</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34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成本指标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维护费不超过财政预算</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893万元</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33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效益指标</w:t>
            </w: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经济效益指标</w:t>
            </w:r>
          </w:p>
        </w:tc>
        <w:tc>
          <w:tcPr>
            <w:tcW w:w="5327" w:type="dxa"/>
            <w:gridSpan w:val="5"/>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夜景亮化使得市民更愿意在夜晚出门消费，扩大了内需；促进了常德旅游业的发展，间接拉动了经济效益。</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社会效益指标</w:t>
            </w:r>
          </w:p>
        </w:tc>
        <w:tc>
          <w:tcPr>
            <w:tcW w:w="5327" w:type="dxa"/>
            <w:gridSpan w:val="5"/>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提升常德城市亮化品味、增强服务功能、改善人居环境以推动城市扩容提质和民主升温为己任，履行景观亮化建设维护的职责，实现公共服务承诺</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0" w:type="dxa"/>
            <w:left w:w="108" w:type="dxa"/>
            <w:bottom w:w="0" w:type="dxa"/>
            <w:right w:w="108" w:type="dxa"/>
          </w:tblCellMar>
        </w:tblPrEx>
        <w:trPr>
          <w:trHeight w:val="3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生态效益指标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实施“绿色照明”避免光污染</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达到行业规范标准</w:t>
            </w:r>
            <w:bookmarkStart w:id="1" w:name="_GoBack"/>
            <w:bookmarkEnd w:id="1"/>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0" w:type="dxa"/>
            <w:left w:w="108" w:type="dxa"/>
            <w:bottom w:w="0" w:type="dxa"/>
            <w:right w:w="108" w:type="dxa"/>
          </w:tblCellMar>
        </w:tblPrEx>
        <w:trPr>
          <w:trHeight w:val="82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可持续影响指标</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成立了专门的管理体制，配备了维修人员，使亮灯率长期保证在90%以上</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亮灯率长期保持在90%以上</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5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社会公众或服务对象满意度</w:t>
            </w:r>
          </w:p>
        </w:tc>
        <w:tc>
          <w:tcPr>
            <w:tcW w:w="24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让市民满意，让领导满意</w:t>
            </w:r>
          </w:p>
        </w:tc>
        <w:tc>
          <w:tcPr>
            <w:tcW w:w="283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满意率达到99%</w:t>
            </w:r>
          </w:p>
        </w:tc>
        <w:tc>
          <w:tcPr>
            <w:tcW w:w="1987"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Layout w:type="fixed"/>
          <w:tblCellMar>
            <w:top w:w="0" w:type="dxa"/>
            <w:left w:w="108" w:type="dxa"/>
            <w:bottom w:w="0" w:type="dxa"/>
            <w:right w:w="108" w:type="dxa"/>
          </w:tblCellMar>
        </w:tblPrEx>
        <w:trPr>
          <w:trHeight w:val="619"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专项实施</w:t>
            </w:r>
          </w:p>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保障措施</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为保证整个城市亮化设施的正常运行，成立了工程亮化科，配置人员5人，配备专门的亮化巡查工程车辆1台，夜间巡查人员3人，及时发现问题，由监控中心监控亮化运行情况，监控中心设有路灯110热线，保证24小时畅通；为了保证工作质量，单位还制定了绩效考核管理实施办法，科室成员各负其责，明确划分区域，责任明确，分工细致，有效地保证了工作质量；亮化设施被盗、被损，接警后30分钟内赶到现场设防处理，路灯亮化设施的一般故障在24小时内处理完毕；因电路故障在48小时内处理完毕，保证我市江北城区亮化设施的正常运行。</w:t>
            </w:r>
          </w:p>
        </w:tc>
      </w:tr>
      <w:tr>
        <w:tblPrEx>
          <w:tblLayout w:type="fixed"/>
          <w:tblCellMar>
            <w:top w:w="0" w:type="dxa"/>
            <w:left w:w="108" w:type="dxa"/>
            <w:bottom w:w="0" w:type="dxa"/>
            <w:right w:w="108" w:type="dxa"/>
          </w:tblCellMar>
        </w:tblPrEx>
        <w:trPr>
          <w:trHeight w:val="1273" w:hRule="atLeas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财政部门审核意见</w:t>
            </w:r>
          </w:p>
        </w:tc>
        <w:tc>
          <w:tcPr>
            <w:tcW w:w="882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ascii="仿宋_GB2312" w:hAnsi="仿宋_GB2312" w:eastAsia="仿宋_GB2312" w:cs="仿宋_GB2312"/>
                <w:kern w:val="0"/>
                <w:szCs w:val="21"/>
              </w:rPr>
            </w:pPr>
          </w:p>
          <w:p>
            <w:pPr>
              <w:widowControl/>
              <w:spacing w:line="280" w:lineRule="exact"/>
              <w:ind w:right="630"/>
              <w:jc w:val="right"/>
              <w:rPr>
                <w:rFonts w:ascii="仿宋_GB2312" w:hAnsi="仿宋_GB2312" w:eastAsia="仿宋_GB2312" w:cs="仿宋_GB2312"/>
                <w:kern w:val="0"/>
                <w:szCs w:val="21"/>
              </w:rPr>
            </w:pPr>
            <w:r>
              <w:rPr>
                <w:rFonts w:hint="eastAsia" w:ascii="仿宋_GB2312" w:hAnsi="仿宋_GB2312" w:eastAsia="仿宋_GB2312" w:cs="仿宋_GB2312"/>
                <w:kern w:val="0"/>
                <w:szCs w:val="21"/>
              </w:rPr>
              <w:t>（盖章）</w:t>
            </w:r>
          </w:p>
          <w:p>
            <w:pPr>
              <w:widowControl/>
              <w:spacing w:line="280" w:lineRule="exact"/>
              <w:ind w:right="210"/>
              <w:jc w:val="right"/>
              <w:rPr>
                <w:rFonts w:ascii="仿宋_GB2312" w:hAnsi="仿宋_GB2312" w:eastAsia="仿宋_GB2312" w:cs="仿宋_GB2312"/>
                <w:kern w:val="0"/>
                <w:szCs w:val="21"/>
              </w:rPr>
            </w:pPr>
            <w:r>
              <w:rPr>
                <w:rFonts w:hint="eastAsia" w:ascii="仿宋_GB2312" w:hAnsi="仿宋_GB2312" w:eastAsia="仿宋_GB2312" w:cs="仿宋_GB2312"/>
                <w:kern w:val="0"/>
                <w:szCs w:val="21"/>
              </w:rPr>
              <w:t>年月日</w:t>
            </w:r>
          </w:p>
        </w:tc>
      </w:tr>
    </w:tbl>
    <w:p>
      <w:pPr>
        <w:widowControl/>
        <w:jc w:val="left"/>
        <w:rPr>
          <w:rFonts w:ascii="宋体" w:hAnsi="宋体"/>
          <w:kern w:val="0"/>
          <w:szCs w:val="21"/>
        </w:rPr>
      </w:pPr>
      <w:r>
        <w:rPr>
          <w:rFonts w:hint="eastAsia" w:ascii="宋体" w:hAnsi="宋体"/>
          <w:kern w:val="0"/>
          <w:szCs w:val="21"/>
        </w:rPr>
        <w:t>填报人：揭峰</w:t>
      </w:r>
      <w:r>
        <w:rPr>
          <w:kern w:val="0"/>
          <w:szCs w:val="21"/>
        </w:rPr>
        <w:tab/>
      </w:r>
      <w:r>
        <w:rPr>
          <w:rFonts w:hint="eastAsia" w:ascii="宋体" w:hAnsi="宋体"/>
          <w:kern w:val="0"/>
          <w:szCs w:val="21"/>
        </w:rPr>
        <w:t>联系电话：</w:t>
      </w:r>
      <w:r>
        <w:rPr>
          <w:rFonts w:hint="eastAsia" w:ascii="仿宋_GB2312" w:eastAsia="宋体"/>
          <w:kern w:val="0"/>
          <w:szCs w:val="21"/>
        </w:rPr>
        <w:t>15886687388</w:t>
      </w:r>
      <w:r>
        <w:rPr>
          <w:kern w:val="0"/>
          <w:szCs w:val="21"/>
        </w:rPr>
        <w:tab/>
      </w:r>
      <w:r>
        <w:rPr>
          <w:rFonts w:hint="eastAsia" w:ascii="宋体" w:hAnsi="宋体"/>
          <w:kern w:val="0"/>
          <w:szCs w:val="21"/>
        </w:rPr>
        <w:t>填报日期：</w:t>
      </w:r>
      <w:r>
        <w:rPr>
          <w:rFonts w:hint="eastAsia" w:ascii="仿宋_GB2312" w:eastAsia="仿宋_GB2312"/>
          <w:kern w:val="0"/>
          <w:szCs w:val="21"/>
        </w:rPr>
        <w:t>201</w:t>
      </w:r>
      <w:r>
        <w:rPr>
          <w:rFonts w:hint="eastAsia" w:ascii="仿宋_GB2312" w:eastAsia="宋体"/>
          <w:kern w:val="0"/>
          <w:szCs w:val="21"/>
        </w:rPr>
        <w:t>7</w:t>
      </w:r>
      <w:r>
        <w:rPr>
          <w:rFonts w:hint="eastAsia" w:ascii="仿宋_GB2312" w:eastAsia="仿宋_GB2312"/>
          <w:kern w:val="0"/>
          <w:szCs w:val="21"/>
        </w:rPr>
        <w:t>年</w:t>
      </w:r>
      <w:r>
        <w:rPr>
          <w:rFonts w:hint="eastAsia" w:ascii="仿宋_GB2312" w:eastAsia="宋体"/>
          <w:kern w:val="0"/>
          <w:szCs w:val="21"/>
        </w:rPr>
        <w:t>4</w:t>
      </w:r>
      <w:r>
        <w:rPr>
          <w:rFonts w:hint="eastAsia" w:ascii="仿宋_GB2312" w:eastAsia="仿宋_GB2312"/>
          <w:kern w:val="0"/>
          <w:szCs w:val="21"/>
        </w:rPr>
        <w:t>月23日</w:t>
      </w:r>
    </w:p>
    <w:p>
      <w:pPr>
        <w:widowControl/>
        <w:jc w:val="left"/>
        <w:rPr>
          <w:rFonts w:ascii="宋体" w:hAnsi="宋体"/>
          <w:kern w:val="0"/>
          <w:szCs w:val="21"/>
        </w:rPr>
      </w:pPr>
    </w:p>
    <w:p/>
    <w:sectPr>
      <w:pgSz w:w="11906" w:h="16838"/>
      <w:pgMar w:top="1134" w:right="1800" w:bottom="1134" w:left="1800"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Arial"/>
    <w:panose1 w:val="00000000000000000000"/>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AB824E3"/>
    <w:rsid w:val="001142E9"/>
    <w:rsid w:val="00137A75"/>
    <w:rsid w:val="001B31A2"/>
    <w:rsid w:val="00462FD0"/>
    <w:rsid w:val="006C3A2F"/>
    <w:rsid w:val="009C3082"/>
    <w:rsid w:val="00AA4C63"/>
    <w:rsid w:val="00D61E51"/>
    <w:rsid w:val="00D638BD"/>
    <w:rsid w:val="00D6774C"/>
    <w:rsid w:val="00EA6A68"/>
    <w:rsid w:val="09F2217B"/>
    <w:rsid w:val="0A9F1526"/>
    <w:rsid w:val="0AB824E3"/>
    <w:rsid w:val="0F8476A3"/>
    <w:rsid w:val="131A3074"/>
    <w:rsid w:val="133A4385"/>
    <w:rsid w:val="1AF63CF2"/>
    <w:rsid w:val="1C7721DE"/>
    <w:rsid w:val="272A72B6"/>
    <w:rsid w:val="27B3469A"/>
    <w:rsid w:val="2F535255"/>
    <w:rsid w:val="30F31E29"/>
    <w:rsid w:val="378F0668"/>
    <w:rsid w:val="3AF84D4F"/>
    <w:rsid w:val="441F728D"/>
    <w:rsid w:val="447771DE"/>
    <w:rsid w:val="4B5C0858"/>
    <w:rsid w:val="53721EC7"/>
    <w:rsid w:val="57EF33FE"/>
    <w:rsid w:val="5AA52C37"/>
    <w:rsid w:val="5AF63E9D"/>
    <w:rsid w:val="5BAC1DD8"/>
    <w:rsid w:val="66DF2E42"/>
    <w:rsid w:val="68F932A9"/>
    <w:rsid w:val="6B6B4CDD"/>
    <w:rsid w:val="6C8D7013"/>
    <w:rsid w:val="7BB94E10"/>
    <w:rsid w:val="7FE1185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1203</Characters>
  <Lines>10</Lines>
  <Paragraphs>2</Paragraphs>
  <TotalTime>0</TotalTime>
  <ScaleCrop>false</ScaleCrop>
  <LinksUpToDate>false</LinksUpToDate>
  <CharactersWithSpaces>1411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2017-04-17T02:56:00Z</dcterms:created>
  <dc:creator>Administrator</dc:creator>
  <cp:lastModifiedBy>Administrator</cp:lastModifiedBy>
  <dcterms:modified xsi:type="dcterms:W3CDTF">2017-05-03T08:38:12Z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